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B3068" w:rsidTr="002B3068">
        <w:trPr>
          <w:tblCellSpacing w:w="0" w:type="dxa"/>
          <w:jc w:val="center"/>
        </w:trPr>
        <w:tc>
          <w:tcPr>
            <w:tcW w:w="5000" w:type="pct"/>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2B3068">
              <w:trPr>
                <w:tblCellSpacing w:w="0" w:type="dxa"/>
              </w:trPr>
              <w:tc>
                <w:tcPr>
                  <w:tcW w:w="0" w:type="auto"/>
                  <w:vAlign w:val="center"/>
                  <w:hideMark/>
                </w:tcPr>
                <w:p w:rsidR="002B3068" w:rsidRDefault="002B3068">
                  <w:pPr>
                    <w:pStyle w:val="NormalWeb"/>
                    <w:spacing w:before="0" w:beforeAutospacing="0" w:after="0" w:afterAutospacing="0"/>
                    <w:jc w:val="center"/>
                    <w:rPr>
                      <w:rFonts w:ascii="Arial" w:hAnsi="Arial" w:cs="Arial"/>
                      <w:color w:val="140595"/>
                      <w:spacing w:val="-15"/>
                      <w:sz w:val="40"/>
                      <w:szCs w:val="40"/>
                    </w:rPr>
                  </w:pPr>
                  <w:bookmarkStart w:id="0" w:name="_GoBack"/>
                  <w:bookmarkEnd w:id="0"/>
                  <w:r>
                    <w:rPr>
                      <w:rStyle w:val="Strong"/>
                      <w:rFonts w:ascii="Arial" w:hAnsi="Arial" w:cs="Arial"/>
                      <w:color w:val="001A81"/>
                      <w:spacing w:val="-15"/>
                      <w:sz w:val="40"/>
                      <w:szCs w:val="40"/>
                    </w:rPr>
                    <w:t>National Association of Credit Specialists</w:t>
                  </w:r>
                </w:p>
                <w:p w:rsidR="002B3068" w:rsidRDefault="002B3068">
                  <w:pPr>
                    <w:pStyle w:val="NormalWeb"/>
                    <w:spacing w:before="0" w:beforeAutospacing="0" w:after="0" w:afterAutospacing="0"/>
                    <w:jc w:val="center"/>
                    <w:rPr>
                      <w:rFonts w:ascii="Arial" w:hAnsi="Arial" w:cs="Arial"/>
                      <w:color w:val="140595"/>
                      <w:spacing w:val="-15"/>
                      <w:sz w:val="40"/>
                      <w:szCs w:val="40"/>
                    </w:rPr>
                  </w:pPr>
                  <w:r>
                    <w:rPr>
                      <w:rStyle w:val="Strong"/>
                      <w:rFonts w:ascii="Arial" w:hAnsi="Arial" w:cs="Arial"/>
                      <w:color w:val="140595"/>
                      <w:spacing w:val="-15"/>
                      <w:sz w:val="40"/>
                      <w:szCs w:val="40"/>
                    </w:rPr>
                    <w:t>Farm Service Agency </w:t>
                  </w:r>
                </w:p>
              </w:tc>
            </w:tr>
          </w:tbl>
          <w:p w:rsidR="002B3068" w:rsidRDefault="002B3068">
            <w:pPr>
              <w:rPr>
                <w:rFonts w:ascii="Times New Roman" w:hAnsi="Times New Roman" w:cs="Times New Roman"/>
                <w:sz w:val="20"/>
                <w:szCs w:val="20"/>
              </w:rPr>
            </w:pPr>
          </w:p>
        </w:tc>
      </w:tr>
      <w:tr w:rsidR="002B3068" w:rsidTr="002B3068">
        <w:trPr>
          <w:tblCellSpacing w:w="0" w:type="dxa"/>
          <w:jc w:val="center"/>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25"/>
              <w:gridCol w:w="7950"/>
              <w:gridCol w:w="525"/>
            </w:tblGrid>
            <w:tr w:rsidR="002B3068">
              <w:trPr>
                <w:trHeight w:val="300"/>
                <w:tblCellSpacing w:w="0" w:type="dxa"/>
              </w:trPr>
              <w:tc>
                <w:tcPr>
                  <w:tcW w:w="0" w:type="auto"/>
                  <w:gridSpan w:val="3"/>
                  <w:vAlign w:val="center"/>
                  <w:hideMark/>
                </w:tcPr>
                <w:p w:rsidR="002B3068" w:rsidRDefault="002B3068">
                  <w:pPr>
                    <w:rPr>
                      <w:rFonts w:ascii="Times New Roman" w:hAnsi="Times New Roman" w:cs="Times New Roman"/>
                      <w:sz w:val="20"/>
                      <w:szCs w:val="20"/>
                    </w:rPr>
                  </w:pPr>
                </w:p>
              </w:tc>
            </w:tr>
            <w:tr w:rsidR="002B3068">
              <w:trPr>
                <w:tblCellSpacing w:w="0" w:type="dxa"/>
              </w:trPr>
              <w:tc>
                <w:tcPr>
                  <w:tcW w:w="525" w:type="dxa"/>
                  <w:vMerge w:val="restart"/>
                  <w:shd w:val="clear" w:color="auto" w:fill="FFFFFF"/>
                  <w:vAlign w:val="center"/>
                  <w:hideMark/>
                </w:tcPr>
                <w:p w:rsidR="002B3068" w:rsidRDefault="002B3068">
                  <w:r>
                    <w:rPr>
                      <w:noProof/>
                    </w:rPr>
                    <w:drawing>
                      <wp:inline distT="0" distB="0" distL="0" distR="0">
                        <wp:extent cx="333375" cy="9525"/>
                        <wp:effectExtent l="0" t="0" r="0" b="0"/>
                        <wp:docPr id="3" name="Picture 3" descr="http://img.constantcontact.com/letter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9525"/>
                                </a:xfrm>
                                <a:prstGeom prst="rect">
                                  <a:avLst/>
                                </a:prstGeom>
                                <a:noFill/>
                                <a:ln>
                                  <a:noFill/>
                                </a:ln>
                              </pic:spPr>
                            </pic:pic>
                          </a:graphicData>
                        </a:graphic>
                      </wp:inline>
                    </w:drawing>
                  </w:r>
                </w:p>
              </w:tc>
              <w:tc>
                <w:tcPr>
                  <w:tcW w:w="795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2B3068">
                    <w:trPr>
                      <w:tblCellSpacing w:w="0" w:type="dxa"/>
                    </w:trPr>
                    <w:tc>
                      <w:tcPr>
                        <w:tcW w:w="5000" w:type="pct"/>
                      </w:tcPr>
                      <w:tbl>
                        <w:tblPr>
                          <w:tblW w:w="5000" w:type="pct"/>
                          <w:tblCellSpacing w:w="0" w:type="dxa"/>
                          <w:shd w:val="clear" w:color="auto" w:fill="989898"/>
                          <w:tblCellMar>
                            <w:left w:w="0" w:type="dxa"/>
                            <w:right w:w="0" w:type="dxa"/>
                          </w:tblCellMar>
                          <w:tblLook w:val="04A0" w:firstRow="1" w:lastRow="0" w:firstColumn="1" w:lastColumn="0" w:noHBand="0" w:noVBand="1"/>
                        </w:tblPr>
                        <w:tblGrid>
                          <w:gridCol w:w="7950"/>
                        </w:tblGrid>
                        <w:tr w:rsidR="002B3068">
                          <w:trPr>
                            <w:trHeight w:val="15"/>
                            <w:tblCellSpacing w:w="0" w:type="dxa"/>
                          </w:trPr>
                          <w:tc>
                            <w:tcPr>
                              <w:tcW w:w="0" w:type="auto"/>
                              <w:shd w:val="clear" w:color="auto" w:fill="989898"/>
                              <w:vAlign w:val="center"/>
                              <w:hideMark/>
                            </w:tcPr>
                            <w:p w:rsidR="002B3068" w:rsidRDefault="002B3068">
                              <w:pPr>
                                <w:rPr>
                                  <w:rFonts w:ascii="Arial" w:hAnsi="Arial" w:cs="Arial"/>
                                  <w:color w:val="000000"/>
                                  <w:sz w:val="24"/>
                                  <w:szCs w:val="24"/>
                                </w:rPr>
                              </w:pPr>
                              <w:r>
                                <w:rPr>
                                  <w:rFonts w:ascii="Arial" w:hAnsi="Arial" w:cs="Arial"/>
                                  <w:color w:val="000000"/>
                                  <w:sz w:val="24"/>
                                  <w:szCs w:val="24"/>
                                </w:rPr>
                                <w:t>March 11, 2019</w:t>
                              </w:r>
                            </w:p>
                          </w:tc>
                        </w:tr>
                      </w:tbl>
                      <w:p w:rsidR="002B3068" w:rsidRDefault="002B3068">
                        <w:pPr>
                          <w:rPr>
                            <w:vanish/>
                          </w:rPr>
                        </w:pPr>
                      </w:p>
                      <w:tbl>
                        <w:tblPr>
                          <w:tblW w:w="5000" w:type="pct"/>
                          <w:tblCellSpacing w:w="0" w:type="dxa"/>
                          <w:shd w:val="clear" w:color="auto" w:fill="CECECE"/>
                          <w:tblCellMar>
                            <w:left w:w="0" w:type="dxa"/>
                            <w:right w:w="0" w:type="dxa"/>
                          </w:tblCellMar>
                          <w:tblLook w:val="04A0" w:firstRow="1" w:lastRow="0" w:firstColumn="1" w:lastColumn="0" w:noHBand="0" w:noVBand="1"/>
                        </w:tblPr>
                        <w:tblGrid>
                          <w:gridCol w:w="7950"/>
                        </w:tblGrid>
                        <w:tr w:rsidR="002B3068">
                          <w:trPr>
                            <w:trHeight w:val="15"/>
                            <w:tblCellSpacing w:w="0" w:type="dxa"/>
                            <w:hidden/>
                          </w:trPr>
                          <w:tc>
                            <w:tcPr>
                              <w:tcW w:w="0" w:type="auto"/>
                              <w:shd w:val="clear" w:color="auto" w:fill="CECECE"/>
                              <w:vAlign w:val="center"/>
                              <w:hideMark/>
                            </w:tcPr>
                            <w:p w:rsidR="002B3068" w:rsidRDefault="002B3068">
                              <w:pPr>
                                <w:rPr>
                                  <w:vanish/>
                                </w:rPr>
                              </w:pPr>
                            </w:p>
                          </w:tc>
                        </w:tr>
                      </w:tbl>
                      <w:p w:rsidR="002B3068" w:rsidRDefault="002B3068">
                        <w:pPr>
                          <w:rPr>
                            <w:vanish/>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7950"/>
                        </w:tblGrid>
                        <w:tr w:rsidR="002B3068">
                          <w:trPr>
                            <w:tblCellSpacing w:w="0" w:type="dxa"/>
                          </w:trPr>
                          <w:tc>
                            <w:tcPr>
                              <w:tcW w:w="0" w:type="auto"/>
                            </w:tcPr>
                            <w:p w:rsidR="002B3068" w:rsidRDefault="002B3068">
                              <w:pPr>
                                <w:rPr>
                                  <w:rFonts w:ascii="Arial" w:hAnsi="Arial" w:cs="Arial"/>
                                  <w:color w:val="000000"/>
                                  <w:spacing w:val="-15"/>
                                  <w:sz w:val="36"/>
                                  <w:szCs w:val="36"/>
                                </w:rPr>
                              </w:pPr>
                              <w:r>
                                <w:rPr>
                                  <w:rStyle w:val="Strong"/>
                                  <w:rFonts w:ascii="Arial" w:hAnsi="Arial" w:cs="Arial"/>
                                  <w:color w:val="000000"/>
                                  <w:spacing w:val="-15"/>
                                  <w:sz w:val="36"/>
                                  <w:szCs w:val="36"/>
                                </w:rPr>
                                <w:t>Dues Information Update</w:t>
                              </w:r>
                            </w:p>
                            <w:p w:rsidR="002B3068" w:rsidRDefault="002B3068">
                              <w:pPr>
                                <w:rPr>
                                  <w:rFonts w:ascii="Arial" w:hAnsi="Arial" w:cs="Arial"/>
                                  <w:color w:val="000000"/>
                                  <w:sz w:val="24"/>
                                  <w:szCs w:val="24"/>
                                </w:rPr>
                              </w:pPr>
                              <w:r>
                                <w:rPr>
                                  <w:rFonts w:ascii="Arial" w:hAnsi="Arial" w:cs="Arial"/>
                                  <w:color w:val="000000"/>
                                  <w:sz w:val="24"/>
                                  <w:szCs w:val="24"/>
                                </w:rPr>
                                <w:t>  </w:t>
                              </w:r>
                            </w:p>
                            <w:p w:rsidR="002B3068" w:rsidRDefault="002B3068">
                              <w:pPr>
                                <w:rPr>
                                  <w:rFonts w:ascii="Georgia" w:hAnsi="Georgia"/>
                                  <w:color w:val="000000"/>
                                  <w:sz w:val="24"/>
                                  <w:szCs w:val="24"/>
                                </w:rPr>
                              </w:pPr>
                              <w:r>
                                <w:rPr>
                                  <w:rFonts w:ascii="Georgia" w:hAnsi="Georgia"/>
                                  <w:color w:val="000000"/>
                                  <w:sz w:val="24"/>
                                  <w:szCs w:val="24"/>
                                </w:rPr>
                                <w:t>State Treasurers and State Presidents:</w:t>
                              </w:r>
                            </w:p>
                            <w:p w:rsidR="002B3068" w:rsidRDefault="002B3068">
                              <w:pPr>
                                <w:rPr>
                                  <w:rFonts w:ascii="Georgia" w:hAnsi="Georgia"/>
                                  <w:color w:val="000000"/>
                                  <w:sz w:val="24"/>
                                  <w:szCs w:val="24"/>
                                </w:rPr>
                              </w:pPr>
                              <w:r>
                                <w:rPr>
                                  <w:rFonts w:ascii="Georgia" w:hAnsi="Georgia"/>
                                  <w:color w:val="000000"/>
                                  <w:sz w:val="24"/>
                                  <w:szCs w:val="24"/>
                                </w:rPr>
                                <w:t>I am working on catching up the records on quarterly dues for NACS from the states. Access to the QuickBooks software that past NACS-FSA Treasurers were using to send out invoices has not been successful. In reviewing the process that we have had in place of invoicing the states, it has become apparent that the states have the source information either in the form of the Finance Office Report that shows all payroll deductions transferred to your state account or your actual deposits. There is a possibility that you may have a few members that do not do payroll deduction. However, the most accurate membership information originates with the state, since NACS does not get the bi-weekly statements. I have been informed that some state treasurers are not able obtain a copy of bi-weekly withholding reports. In any case, you would have the deposited amounts to at least fall back on. As a reminder, here is the dues structure as found in the current president's guide:</w:t>
                              </w:r>
                            </w:p>
                            <w:p w:rsidR="002B3068" w:rsidRDefault="002B3068">
                              <w:pPr>
                                <w:rPr>
                                  <w:rFonts w:ascii="Georgia" w:hAnsi="Georgia"/>
                                  <w:color w:val="000000"/>
                                  <w:sz w:val="24"/>
                                  <w:szCs w:val="24"/>
                                </w:rPr>
                              </w:pPr>
                              <w:r>
                                <w:rPr>
                                  <w:rFonts w:ascii="Georgia" w:hAnsi="Georgia"/>
                                  <w:b/>
                                  <w:bCs/>
                                  <w:color w:val="000000"/>
                                  <w:sz w:val="24"/>
                                  <w:szCs w:val="24"/>
                                </w:rPr>
                                <w:t xml:space="preserve">Dues as set by NACS board as of April 3, 2017 </w:t>
                              </w:r>
                            </w:p>
                            <w:p w:rsidR="002B3068" w:rsidRDefault="002B3068">
                              <w:pPr>
                                <w:rPr>
                                  <w:rFonts w:ascii="Georgia" w:hAnsi="Georgia"/>
                                  <w:color w:val="000000"/>
                                  <w:sz w:val="24"/>
                                  <w:szCs w:val="24"/>
                                </w:rPr>
                              </w:pPr>
                              <w:r>
                                <w:rPr>
                                  <w:rFonts w:ascii="Georgia" w:hAnsi="Georgia"/>
                                  <w:color w:val="000000"/>
                                  <w:sz w:val="24"/>
                                  <w:szCs w:val="24"/>
                                </w:rPr>
                                <w:t xml:space="preserve">A. National NACS Dues are $144 per year </w:t>
                              </w:r>
                            </w:p>
                            <w:p w:rsidR="002B3068" w:rsidRDefault="002B3068">
                              <w:pPr>
                                <w:rPr>
                                  <w:rFonts w:ascii="Georgia" w:hAnsi="Georgia"/>
                                  <w:color w:val="000000"/>
                                  <w:sz w:val="24"/>
                                  <w:szCs w:val="24"/>
                                </w:rPr>
                              </w:pPr>
                              <w:r>
                                <w:rPr>
                                  <w:rFonts w:ascii="Georgia" w:hAnsi="Georgia"/>
                                  <w:color w:val="000000"/>
                                  <w:sz w:val="24"/>
                                  <w:szCs w:val="24"/>
                                </w:rPr>
                                <w:t xml:space="preserve">B. Associate National NACS Dues are $30 per year </w:t>
                              </w:r>
                            </w:p>
                            <w:p w:rsidR="002B3068" w:rsidRDefault="002B3068">
                              <w:pPr>
                                <w:rPr>
                                  <w:rFonts w:ascii="Georgia" w:hAnsi="Georgia"/>
                                  <w:color w:val="000000"/>
                                  <w:sz w:val="24"/>
                                  <w:szCs w:val="24"/>
                                </w:rPr>
                              </w:pPr>
                              <w:r>
                                <w:rPr>
                                  <w:rFonts w:ascii="Georgia" w:hAnsi="Georgia"/>
                                  <w:color w:val="000000"/>
                                  <w:sz w:val="24"/>
                                  <w:szCs w:val="24"/>
                                </w:rPr>
                                <w:t xml:space="preserve">C. National Lifetime Membership is $100, paid one time </w:t>
                              </w:r>
                            </w:p>
                            <w:p w:rsidR="002B3068" w:rsidRDefault="002B3068">
                              <w:pPr>
                                <w:rPr>
                                  <w:rFonts w:ascii="Georgia" w:hAnsi="Georgia"/>
                                  <w:color w:val="000000"/>
                                  <w:sz w:val="24"/>
                                  <w:szCs w:val="24"/>
                                </w:rPr>
                              </w:pPr>
                              <w:r>
                                <w:rPr>
                                  <w:rFonts w:ascii="Georgia" w:hAnsi="Georgia"/>
                                  <w:color w:val="000000"/>
                                  <w:sz w:val="24"/>
                                  <w:szCs w:val="24"/>
                                </w:rPr>
                                <w:t>D. National NACS Dues are $52 for any first-time member who joins between June 1, 2018 and May 31, 2019</w:t>
                              </w:r>
                            </w:p>
                            <w:p w:rsidR="002B3068" w:rsidRDefault="002B3068">
                              <w:pPr>
                                <w:rPr>
                                  <w:rFonts w:ascii="Georgia" w:hAnsi="Georgia"/>
                                  <w:color w:val="000000"/>
                                  <w:sz w:val="24"/>
                                  <w:szCs w:val="24"/>
                                </w:rPr>
                              </w:pPr>
                              <w:r>
                                <w:rPr>
                                  <w:rFonts w:ascii="Georgia" w:hAnsi="Georgia"/>
                                  <w:color w:val="000000"/>
                                  <w:sz w:val="24"/>
                                  <w:szCs w:val="24"/>
                                </w:rPr>
                                <w:t>And the following from the constitution:</w:t>
                              </w:r>
                            </w:p>
                            <w:p w:rsidR="002B3068" w:rsidRDefault="002B3068">
                              <w:pPr>
                                <w:rPr>
                                  <w:rFonts w:ascii="Georgia" w:hAnsi="Georgia"/>
                                  <w:color w:val="000000"/>
                                  <w:sz w:val="24"/>
                                  <w:szCs w:val="24"/>
                                </w:rPr>
                              </w:pPr>
                              <w:r>
                                <w:rPr>
                                  <w:rFonts w:ascii="Georgia" w:hAnsi="Georgia"/>
                                  <w:b/>
                                  <w:bCs/>
                                  <w:color w:val="000000"/>
                                  <w:sz w:val="24"/>
                                  <w:szCs w:val="24"/>
                                </w:rPr>
                                <w:t>ARTICLE I - DUES AND FISCAL YEAR</w:t>
                              </w:r>
                            </w:p>
                            <w:p w:rsidR="002B3068" w:rsidRDefault="002B3068">
                              <w:pPr>
                                <w:rPr>
                                  <w:rFonts w:ascii="Georgia" w:hAnsi="Georgia"/>
                                  <w:color w:val="000000"/>
                                  <w:sz w:val="24"/>
                                  <w:szCs w:val="24"/>
                                </w:rPr>
                              </w:pPr>
                              <w:r>
                                <w:rPr>
                                  <w:rFonts w:ascii="Georgia" w:hAnsi="Georgia"/>
                                  <w:color w:val="000000"/>
                                  <w:sz w:val="24"/>
                                  <w:szCs w:val="24"/>
                                </w:rPr>
                                <w:t>A. Annual dues shall be determined by the Board of Directors.</w:t>
                              </w:r>
                            </w:p>
                            <w:p w:rsidR="002B3068" w:rsidRDefault="002B3068">
                              <w:pPr>
                                <w:rPr>
                                  <w:rFonts w:ascii="Georgia" w:hAnsi="Georgia"/>
                                  <w:color w:val="000000"/>
                                  <w:sz w:val="24"/>
                                  <w:szCs w:val="24"/>
                                </w:rPr>
                              </w:pPr>
                              <w:r>
                                <w:rPr>
                                  <w:rFonts w:ascii="Georgia" w:hAnsi="Georgia"/>
                                  <w:color w:val="000000"/>
                                  <w:sz w:val="24"/>
                                  <w:szCs w:val="24"/>
                                </w:rPr>
                                <w:t>1. State may pay dues either annually or quarterly. State paying dues annually, must pay in</w:t>
                              </w:r>
                            </w:p>
                            <w:p w:rsidR="002B3068" w:rsidRDefault="002B3068">
                              <w:pPr>
                                <w:rPr>
                                  <w:rFonts w:ascii="Georgia" w:hAnsi="Georgia"/>
                                  <w:color w:val="000000"/>
                                  <w:sz w:val="24"/>
                                  <w:szCs w:val="24"/>
                                </w:rPr>
                              </w:pPr>
                              <w:r>
                                <w:rPr>
                                  <w:rFonts w:ascii="Georgia" w:hAnsi="Georgia"/>
                                  <w:color w:val="000000"/>
                                  <w:sz w:val="24"/>
                                  <w:szCs w:val="24"/>
                                </w:rPr>
                                <w:t>advance versus arrears</w:t>
                              </w:r>
                            </w:p>
                            <w:p w:rsidR="002B3068" w:rsidRDefault="002B3068">
                              <w:pPr>
                                <w:rPr>
                                  <w:rFonts w:ascii="Georgia" w:hAnsi="Georgia"/>
                                  <w:color w:val="000000"/>
                                  <w:sz w:val="24"/>
                                  <w:szCs w:val="24"/>
                                </w:rPr>
                              </w:pPr>
                              <w:r>
                                <w:rPr>
                                  <w:rFonts w:ascii="Georgia" w:hAnsi="Georgia"/>
                                  <w:color w:val="000000"/>
                                  <w:sz w:val="24"/>
                                  <w:szCs w:val="24"/>
                                </w:rPr>
                                <w:t>2. States paying quarterly shall have their dues due and payable in alignment with the</w:t>
                              </w:r>
                            </w:p>
                            <w:p w:rsidR="002B3068" w:rsidRDefault="002B3068">
                              <w:pPr>
                                <w:rPr>
                                  <w:rFonts w:ascii="Georgia" w:hAnsi="Georgia"/>
                                  <w:color w:val="000000"/>
                                  <w:sz w:val="24"/>
                                  <w:szCs w:val="24"/>
                                </w:rPr>
                              </w:pPr>
                              <w:r>
                                <w:rPr>
                                  <w:rFonts w:ascii="Georgia" w:hAnsi="Georgia"/>
                                  <w:color w:val="000000"/>
                                  <w:sz w:val="24"/>
                                  <w:szCs w:val="24"/>
                                </w:rPr>
                                <w:t>NACS fiscal year. (Dues shall be due and payable on June 1st, September 1st,</w:t>
                              </w:r>
                            </w:p>
                            <w:p w:rsidR="002B3068" w:rsidRDefault="002B3068">
                              <w:pPr>
                                <w:rPr>
                                  <w:rFonts w:ascii="Georgia" w:hAnsi="Georgia"/>
                                  <w:color w:val="000000"/>
                                  <w:sz w:val="24"/>
                                  <w:szCs w:val="24"/>
                                </w:rPr>
                              </w:pPr>
                              <w:r>
                                <w:rPr>
                                  <w:rFonts w:ascii="Georgia" w:hAnsi="Georgia"/>
                                  <w:color w:val="000000"/>
                                  <w:sz w:val="24"/>
                                  <w:szCs w:val="24"/>
                                </w:rPr>
                                <w:t>December1st and March 1st.)</w:t>
                              </w:r>
                            </w:p>
                            <w:p w:rsidR="002B3068" w:rsidRDefault="002B3068">
                              <w:pPr>
                                <w:rPr>
                                  <w:rFonts w:ascii="Georgia" w:hAnsi="Georgia"/>
                                  <w:color w:val="000000"/>
                                  <w:sz w:val="24"/>
                                  <w:szCs w:val="24"/>
                                </w:rPr>
                              </w:pPr>
                              <w:r>
                                <w:rPr>
                                  <w:rFonts w:ascii="Georgia" w:hAnsi="Georgia"/>
                                  <w:color w:val="000000"/>
                                  <w:sz w:val="24"/>
                                  <w:szCs w:val="24"/>
                                </w:rPr>
                                <w:t>B. The fiscal year shall be June 1 to May 31.</w:t>
                              </w:r>
                            </w:p>
                            <w:p w:rsidR="002B3068" w:rsidRDefault="002B3068">
                              <w:pPr>
                                <w:rPr>
                                  <w:rFonts w:ascii="Georgia" w:hAnsi="Georgia"/>
                                  <w:color w:val="000000"/>
                                  <w:sz w:val="24"/>
                                  <w:szCs w:val="24"/>
                                </w:rPr>
                              </w:pPr>
                              <w:r>
                                <w:rPr>
                                  <w:rFonts w:ascii="Georgia" w:hAnsi="Georgia"/>
                                  <w:color w:val="000000"/>
                                  <w:sz w:val="24"/>
                                  <w:szCs w:val="24"/>
                                </w:rPr>
                                <w:t xml:space="preserve">I am requesting that when you make your quarterly or annual payment that you include a copy of the most recent Finance Office Report (PACS4400-01) U. S. DEPARTMENT OF AGRICULTURE, NATIONAL </w:t>
                              </w:r>
                              <w:r>
                                <w:rPr>
                                  <w:rFonts w:ascii="Georgia" w:hAnsi="Georgia"/>
                                  <w:color w:val="000000"/>
                                  <w:sz w:val="24"/>
                                  <w:szCs w:val="24"/>
                                </w:rPr>
                                <w:lastRenderedPageBreak/>
                                <w:t>FINANCE CENTER, REPORT OF ORGAN. OR ASSOC. DUES WITHHELD, CONTROLLED UNCLASSIFIED INFORMATION (CUI) with notations to include the names of those members currently not on pay roll deduction. For those that do not have access to the withholding report, please provide a copy of what you use to track your membership (spread sheet, etc.).</w:t>
                              </w:r>
                            </w:p>
                            <w:p w:rsidR="002B3068" w:rsidRDefault="002B3068">
                              <w:pPr>
                                <w:rPr>
                                  <w:rFonts w:ascii="Georgia" w:hAnsi="Georgia"/>
                                  <w:color w:val="000000"/>
                                  <w:sz w:val="24"/>
                                  <w:szCs w:val="24"/>
                                </w:rPr>
                              </w:pPr>
                              <w:r>
                                <w:rPr>
                                  <w:rFonts w:ascii="Georgia" w:hAnsi="Georgia"/>
                                  <w:color w:val="000000"/>
                                  <w:sz w:val="24"/>
                                  <w:szCs w:val="24"/>
                                </w:rPr>
                                <w:t>The invoicing for dues has and will continue to be put on hold while the board determines how to move forward. Thus, the use of the finance report, or other state created report if not available, as outlined above, will be the source information for paying your dues. As a reminder, dues are quarterly as follows: March 1</w:t>
                              </w:r>
                              <w:r>
                                <w:rPr>
                                  <w:rFonts w:ascii="Georgia" w:hAnsi="Georgia"/>
                                  <w:color w:val="000000"/>
                                  <w:sz w:val="20"/>
                                  <w:szCs w:val="20"/>
                                  <w:vertAlign w:val="superscript"/>
                                </w:rPr>
                                <w:t>st</w:t>
                              </w:r>
                              <w:r>
                                <w:rPr>
                                  <w:rFonts w:ascii="Georgia" w:hAnsi="Georgia"/>
                                  <w:color w:val="000000"/>
                                  <w:sz w:val="24"/>
                                  <w:szCs w:val="24"/>
                                </w:rPr>
                                <w:t>, June 1</w:t>
                              </w:r>
                              <w:r>
                                <w:rPr>
                                  <w:rFonts w:ascii="Georgia" w:hAnsi="Georgia"/>
                                  <w:color w:val="000000"/>
                                  <w:sz w:val="20"/>
                                  <w:szCs w:val="20"/>
                                  <w:vertAlign w:val="superscript"/>
                                </w:rPr>
                                <w:t>st</w:t>
                              </w:r>
                              <w:r>
                                <w:rPr>
                                  <w:rFonts w:ascii="Georgia" w:hAnsi="Georgia"/>
                                  <w:color w:val="000000"/>
                                  <w:sz w:val="24"/>
                                  <w:szCs w:val="24"/>
                                </w:rPr>
                                <w:t>, September, 1</w:t>
                              </w:r>
                              <w:r>
                                <w:rPr>
                                  <w:rFonts w:ascii="Georgia" w:hAnsi="Georgia"/>
                                  <w:color w:val="000000"/>
                                  <w:sz w:val="20"/>
                                  <w:szCs w:val="20"/>
                                  <w:vertAlign w:val="superscript"/>
                                </w:rPr>
                                <w:t>st</w:t>
                              </w:r>
                              <w:r>
                                <w:rPr>
                                  <w:rFonts w:ascii="Georgia" w:hAnsi="Georgia"/>
                                  <w:color w:val="000000"/>
                                  <w:sz w:val="24"/>
                                  <w:szCs w:val="24"/>
                                </w:rPr>
                                <w:t>, and December 1</w:t>
                              </w:r>
                              <w:r>
                                <w:rPr>
                                  <w:rFonts w:ascii="Georgia" w:hAnsi="Georgia"/>
                                  <w:color w:val="000000"/>
                                  <w:sz w:val="20"/>
                                  <w:szCs w:val="20"/>
                                  <w:vertAlign w:val="superscript"/>
                                </w:rPr>
                                <w:t>st</w:t>
                              </w:r>
                              <w:r>
                                <w:rPr>
                                  <w:rFonts w:ascii="Georgia" w:hAnsi="Georgia"/>
                                  <w:color w:val="000000"/>
                                  <w:sz w:val="24"/>
                                  <w:szCs w:val="24"/>
                                </w:rPr>
                                <w:t>. I will be contacting directly those state that show in arears on paying dues.</w:t>
                              </w:r>
                            </w:p>
                            <w:p w:rsidR="002B3068" w:rsidRDefault="002B3068">
                              <w:pPr>
                                <w:rPr>
                                  <w:rFonts w:ascii="Georgia" w:hAnsi="Georgia"/>
                                  <w:color w:val="000000"/>
                                  <w:sz w:val="24"/>
                                  <w:szCs w:val="24"/>
                                </w:rPr>
                              </w:pPr>
                              <w:r>
                                <w:rPr>
                                  <w:rFonts w:ascii="Georgia" w:hAnsi="Georgia"/>
                                  <w:color w:val="000000"/>
                                  <w:sz w:val="24"/>
                                  <w:szCs w:val="24"/>
                                </w:rPr>
                                <w:t> </w:t>
                              </w:r>
                            </w:p>
                            <w:p w:rsidR="002B3068" w:rsidRDefault="002B3068">
                              <w:pPr>
                                <w:rPr>
                                  <w:rFonts w:ascii="Georgia" w:hAnsi="Georgia"/>
                                  <w:color w:val="000000"/>
                                  <w:sz w:val="24"/>
                                  <w:szCs w:val="24"/>
                                </w:rPr>
                              </w:pPr>
                              <w:r>
                                <w:rPr>
                                  <w:rFonts w:ascii="Georgia" w:hAnsi="Georgia"/>
                                  <w:color w:val="000000"/>
                                  <w:sz w:val="24"/>
                                  <w:szCs w:val="24"/>
                                </w:rPr>
                                <w:t> </w:t>
                              </w:r>
                            </w:p>
                            <w:p w:rsidR="002B3068" w:rsidRDefault="002B3068">
                              <w:pPr>
                                <w:rPr>
                                  <w:rFonts w:ascii="Georgia" w:hAnsi="Georgia"/>
                                  <w:color w:val="000000"/>
                                  <w:sz w:val="24"/>
                                  <w:szCs w:val="24"/>
                                </w:rPr>
                              </w:pPr>
                              <w:r>
                                <w:rPr>
                                  <w:rFonts w:ascii="Georgia" w:hAnsi="Georgia"/>
                                  <w:color w:val="000000"/>
                                  <w:sz w:val="24"/>
                                  <w:szCs w:val="24"/>
                                </w:rPr>
                                <w:t> </w:t>
                              </w:r>
                            </w:p>
                            <w:p w:rsidR="002B3068" w:rsidRDefault="002B3068">
                              <w:pPr>
                                <w:rPr>
                                  <w:rFonts w:ascii="Georgia" w:hAnsi="Georgia"/>
                                  <w:color w:val="000000"/>
                                  <w:sz w:val="24"/>
                                  <w:szCs w:val="24"/>
                                </w:rPr>
                              </w:pPr>
                              <w:r>
                                <w:rPr>
                                  <w:rFonts w:ascii="Georgia" w:hAnsi="Georgia"/>
                                  <w:color w:val="000000"/>
                                  <w:sz w:val="24"/>
                                  <w:szCs w:val="24"/>
                                </w:rPr>
                                <w:t>Ray E Bartholomew</w:t>
                              </w:r>
                            </w:p>
                            <w:p w:rsidR="002B3068" w:rsidRDefault="002B3068">
                              <w:pPr>
                                <w:rPr>
                                  <w:rFonts w:ascii="Georgia" w:hAnsi="Georgia"/>
                                  <w:color w:val="000000"/>
                                  <w:sz w:val="24"/>
                                  <w:szCs w:val="24"/>
                                </w:rPr>
                              </w:pPr>
                              <w:r>
                                <w:rPr>
                                  <w:rFonts w:ascii="Georgia" w:hAnsi="Georgia"/>
                                  <w:color w:val="000000"/>
                                  <w:sz w:val="24"/>
                                  <w:szCs w:val="24"/>
                                </w:rPr>
                                <w:t>NACS Treasurer</w:t>
                              </w:r>
                            </w:p>
                            <w:p w:rsidR="002B3068" w:rsidRDefault="002B3068">
                              <w:pPr>
                                <w:rPr>
                                  <w:rFonts w:ascii="Georgia" w:hAnsi="Georgia"/>
                                  <w:color w:val="000000"/>
                                  <w:sz w:val="24"/>
                                  <w:szCs w:val="24"/>
                                </w:rPr>
                              </w:pPr>
                              <w:r>
                                <w:rPr>
                                  <w:rFonts w:ascii="Georgia" w:hAnsi="Georgia"/>
                                  <w:color w:val="000000"/>
                                  <w:sz w:val="24"/>
                                  <w:szCs w:val="24"/>
                                </w:rPr>
                                <w:t xml:space="preserve">4107 South </w:t>
                              </w:r>
                              <w:proofErr w:type="spellStart"/>
                              <w:r>
                                <w:rPr>
                                  <w:rFonts w:ascii="Georgia" w:hAnsi="Georgia"/>
                                  <w:color w:val="000000"/>
                                  <w:sz w:val="24"/>
                                  <w:szCs w:val="24"/>
                                </w:rPr>
                                <w:t>Obee</w:t>
                              </w:r>
                              <w:proofErr w:type="spellEnd"/>
                              <w:r>
                                <w:rPr>
                                  <w:rFonts w:ascii="Georgia" w:hAnsi="Georgia"/>
                                  <w:color w:val="000000"/>
                                  <w:sz w:val="24"/>
                                  <w:szCs w:val="24"/>
                                </w:rPr>
                                <w:t xml:space="preserve"> Road</w:t>
                              </w:r>
                            </w:p>
                            <w:p w:rsidR="002B3068" w:rsidRDefault="002B3068">
                              <w:pPr>
                                <w:rPr>
                                  <w:rFonts w:ascii="Georgia" w:hAnsi="Georgia"/>
                                  <w:color w:val="000000"/>
                                  <w:sz w:val="24"/>
                                  <w:szCs w:val="24"/>
                                </w:rPr>
                              </w:pPr>
                              <w:r>
                                <w:rPr>
                                  <w:rFonts w:ascii="Georgia" w:hAnsi="Georgia"/>
                                  <w:color w:val="000000"/>
                                  <w:sz w:val="24"/>
                                  <w:szCs w:val="24"/>
                                </w:rPr>
                                <w:t>Hutchinson, KS 67501</w:t>
                              </w:r>
                            </w:p>
                            <w:p w:rsidR="002B3068" w:rsidRDefault="002B3068">
                              <w:pPr>
                                <w:rPr>
                                  <w:rFonts w:ascii="Georgia" w:hAnsi="Georgia"/>
                                  <w:color w:val="000000"/>
                                  <w:sz w:val="24"/>
                                  <w:szCs w:val="24"/>
                                </w:rPr>
                              </w:pPr>
                              <w:r>
                                <w:rPr>
                                  <w:rFonts w:ascii="Georgia" w:hAnsi="Georgia"/>
                                  <w:color w:val="000000"/>
                                  <w:sz w:val="24"/>
                                  <w:szCs w:val="24"/>
                                </w:rPr>
                                <w:t>620-200-8253</w:t>
                              </w:r>
                            </w:p>
                            <w:p w:rsidR="002B3068" w:rsidRDefault="00603FC1">
                              <w:pPr>
                                <w:rPr>
                                  <w:rFonts w:ascii="Georgia" w:hAnsi="Georgia"/>
                                  <w:color w:val="000000"/>
                                  <w:sz w:val="24"/>
                                  <w:szCs w:val="24"/>
                                </w:rPr>
                              </w:pPr>
                              <w:hyperlink r:id="rId6" w:history="1">
                                <w:r w:rsidR="002B3068">
                                  <w:rPr>
                                    <w:rStyle w:val="Hyperlink"/>
                                    <w:rFonts w:ascii="Georgia" w:hAnsi="Georgia"/>
                                    <w:sz w:val="24"/>
                                    <w:szCs w:val="24"/>
                                  </w:rPr>
                                  <w:t>raybart53@gmail.com</w:t>
                                </w:r>
                              </w:hyperlink>
                            </w:p>
                            <w:p w:rsidR="002B3068" w:rsidRDefault="002B3068">
                              <w:pPr>
                                <w:rPr>
                                  <w:rFonts w:ascii="Georgia" w:hAnsi="Georgia"/>
                                  <w:color w:val="000000"/>
                                  <w:sz w:val="24"/>
                                  <w:szCs w:val="24"/>
                                </w:rPr>
                              </w:pPr>
                            </w:p>
                            <w:p w:rsidR="002B3068" w:rsidRDefault="002B3068">
                              <w:pPr>
                                <w:rPr>
                                  <w:rFonts w:ascii="Georgia" w:hAnsi="Georgia"/>
                                  <w:color w:val="000000"/>
                                  <w:sz w:val="24"/>
                                  <w:szCs w:val="24"/>
                                </w:rPr>
                              </w:pPr>
                            </w:p>
                            <w:p w:rsidR="002B3068" w:rsidRDefault="002B3068">
                              <w:pPr>
                                <w:rPr>
                                  <w:rFonts w:ascii="Georgia" w:hAnsi="Georgia"/>
                                  <w:color w:val="000000"/>
                                  <w:sz w:val="24"/>
                                  <w:szCs w:val="24"/>
                                </w:rPr>
                              </w:pPr>
                            </w:p>
                            <w:p w:rsidR="002B3068" w:rsidRDefault="002B3068">
                              <w:pPr>
                                <w:rPr>
                                  <w:rFonts w:ascii="Georgia" w:hAnsi="Georgia"/>
                                  <w:color w:val="000000"/>
                                  <w:sz w:val="24"/>
                                  <w:szCs w:val="24"/>
                                </w:rPr>
                              </w:pPr>
                              <w:r>
                                <w:rPr>
                                  <w:rFonts w:ascii="Georgia" w:hAnsi="Georgia"/>
                                  <w:color w:val="000000"/>
                                  <w:sz w:val="24"/>
                                  <w:szCs w:val="24"/>
                                </w:rPr>
                                <w:t>  </w:t>
                              </w:r>
                            </w:p>
                          </w:tc>
                        </w:tr>
                      </w:tbl>
                      <w:p w:rsidR="002B3068" w:rsidRDefault="002B3068">
                        <w:pPr>
                          <w:rPr>
                            <w:vanish/>
                          </w:rPr>
                        </w:pPr>
                      </w:p>
                      <w:tbl>
                        <w:tblPr>
                          <w:tblW w:w="5000" w:type="pct"/>
                          <w:tblCellSpacing w:w="0" w:type="dxa"/>
                          <w:shd w:val="clear" w:color="auto" w:fill="CECECE"/>
                          <w:tblCellMar>
                            <w:left w:w="0" w:type="dxa"/>
                            <w:right w:w="0" w:type="dxa"/>
                          </w:tblCellMar>
                          <w:tblLook w:val="04A0" w:firstRow="1" w:lastRow="0" w:firstColumn="1" w:lastColumn="0" w:noHBand="0" w:noVBand="1"/>
                        </w:tblPr>
                        <w:tblGrid>
                          <w:gridCol w:w="7950"/>
                        </w:tblGrid>
                        <w:tr w:rsidR="002B3068">
                          <w:trPr>
                            <w:trHeight w:val="15"/>
                            <w:tblCellSpacing w:w="0" w:type="dxa"/>
                            <w:hidden/>
                          </w:trPr>
                          <w:tc>
                            <w:tcPr>
                              <w:tcW w:w="0" w:type="auto"/>
                              <w:shd w:val="clear" w:color="auto" w:fill="CECECE"/>
                              <w:vAlign w:val="center"/>
                              <w:hideMark/>
                            </w:tcPr>
                            <w:p w:rsidR="002B3068" w:rsidRDefault="002B3068">
                              <w:pPr>
                                <w:rPr>
                                  <w:vanish/>
                                </w:rPr>
                              </w:pPr>
                            </w:p>
                          </w:tc>
                        </w:tr>
                      </w:tbl>
                      <w:p w:rsidR="002B3068" w:rsidRDefault="002B3068">
                        <w:pPr>
                          <w:rPr>
                            <w:vanish/>
                          </w:rPr>
                        </w:pPr>
                      </w:p>
                      <w:p w:rsidR="002B3068" w:rsidRDefault="002B3068">
                        <w:pPr>
                          <w:rPr>
                            <w:vanish/>
                          </w:rPr>
                        </w:pPr>
                      </w:p>
                      <w:tbl>
                        <w:tblPr>
                          <w:tblW w:w="5000" w:type="pct"/>
                          <w:tblCellSpacing w:w="0" w:type="dxa"/>
                          <w:shd w:val="clear" w:color="auto" w:fill="CECECE"/>
                          <w:tblCellMar>
                            <w:left w:w="0" w:type="dxa"/>
                            <w:right w:w="0" w:type="dxa"/>
                          </w:tblCellMar>
                          <w:tblLook w:val="04A0" w:firstRow="1" w:lastRow="0" w:firstColumn="1" w:lastColumn="0" w:noHBand="0" w:noVBand="1"/>
                        </w:tblPr>
                        <w:tblGrid>
                          <w:gridCol w:w="7950"/>
                        </w:tblGrid>
                        <w:tr w:rsidR="002B3068">
                          <w:trPr>
                            <w:trHeight w:val="15"/>
                            <w:tblCellSpacing w:w="0" w:type="dxa"/>
                            <w:hidden/>
                          </w:trPr>
                          <w:tc>
                            <w:tcPr>
                              <w:tcW w:w="0" w:type="auto"/>
                              <w:shd w:val="clear" w:color="auto" w:fill="CECECE"/>
                              <w:vAlign w:val="center"/>
                              <w:hideMark/>
                            </w:tcPr>
                            <w:p w:rsidR="002B3068" w:rsidRDefault="002B3068">
                              <w:pPr>
                                <w:rPr>
                                  <w:vanish/>
                                </w:rPr>
                              </w:pPr>
                            </w:p>
                          </w:tc>
                        </w:tr>
                      </w:tbl>
                      <w:p w:rsidR="002B3068" w:rsidRDefault="002B3068">
                        <w:pPr>
                          <w:rPr>
                            <w:rFonts w:ascii="Times New Roman" w:hAnsi="Times New Roman" w:cs="Times New Roman"/>
                            <w:sz w:val="20"/>
                            <w:szCs w:val="20"/>
                          </w:rPr>
                        </w:pPr>
                      </w:p>
                    </w:tc>
                  </w:tr>
                </w:tbl>
                <w:p w:rsidR="002B3068" w:rsidRDefault="002B3068">
                  <w:pPr>
                    <w:rPr>
                      <w:rFonts w:ascii="Times New Roman" w:hAnsi="Times New Roman" w:cs="Times New Roman"/>
                      <w:sz w:val="20"/>
                      <w:szCs w:val="20"/>
                    </w:rPr>
                  </w:pPr>
                </w:p>
              </w:tc>
              <w:tc>
                <w:tcPr>
                  <w:tcW w:w="525" w:type="dxa"/>
                  <w:vMerge w:val="restart"/>
                  <w:shd w:val="clear" w:color="auto" w:fill="FFFFFF"/>
                  <w:vAlign w:val="center"/>
                  <w:hideMark/>
                </w:tcPr>
                <w:p w:rsidR="002B3068" w:rsidRDefault="002B3068">
                  <w:r>
                    <w:rPr>
                      <w:noProof/>
                    </w:rPr>
                    <w:lastRenderedPageBreak/>
                    <w:drawing>
                      <wp:inline distT="0" distB="0" distL="0" distR="0">
                        <wp:extent cx="333375" cy="9525"/>
                        <wp:effectExtent l="0" t="0" r="0" b="0"/>
                        <wp:docPr id="1" name="Picture 1" descr="http://img.constantcontact.com/letter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9525"/>
                                </a:xfrm>
                                <a:prstGeom prst="rect">
                                  <a:avLst/>
                                </a:prstGeom>
                                <a:noFill/>
                                <a:ln>
                                  <a:noFill/>
                                </a:ln>
                              </pic:spPr>
                            </pic:pic>
                          </a:graphicData>
                        </a:graphic>
                      </wp:inline>
                    </w:drawing>
                  </w:r>
                </w:p>
              </w:tc>
            </w:tr>
            <w:tr w:rsidR="002B3068">
              <w:trPr>
                <w:tblCellSpacing w:w="0" w:type="dxa"/>
              </w:trPr>
              <w:tc>
                <w:tcPr>
                  <w:tcW w:w="0" w:type="auto"/>
                  <w:vMerge/>
                  <w:vAlign w:val="center"/>
                  <w:hideMark/>
                </w:tcPr>
                <w:p w:rsidR="002B3068" w:rsidRDefault="002B3068"/>
              </w:tc>
              <w:tc>
                <w:tcPr>
                  <w:tcW w:w="0" w:type="auto"/>
                  <w:vAlign w:val="center"/>
                  <w:hideMark/>
                </w:tcPr>
                <w:p w:rsidR="002B3068" w:rsidRDefault="002B3068"/>
              </w:tc>
              <w:tc>
                <w:tcPr>
                  <w:tcW w:w="0" w:type="auto"/>
                  <w:vMerge/>
                  <w:vAlign w:val="center"/>
                  <w:hideMark/>
                </w:tcPr>
                <w:p w:rsidR="002B3068" w:rsidRDefault="002B3068"/>
              </w:tc>
            </w:tr>
          </w:tbl>
          <w:p w:rsidR="002B3068" w:rsidRDefault="002B3068">
            <w:pPr>
              <w:rPr>
                <w:rFonts w:ascii="Times New Roman" w:hAnsi="Times New Roman" w:cs="Times New Roman"/>
                <w:sz w:val="20"/>
                <w:szCs w:val="20"/>
              </w:rPr>
            </w:pPr>
          </w:p>
        </w:tc>
      </w:tr>
    </w:tbl>
    <w:p w:rsidR="00B81DB0" w:rsidRPr="002B3068" w:rsidRDefault="00B81DB0" w:rsidP="002B3068"/>
    <w:sectPr w:rsidR="00B81DB0" w:rsidRPr="002B3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68"/>
    <w:rsid w:val="002B3068"/>
    <w:rsid w:val="00603FC1"/>
    <w:rsid w:val="00B8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68"/>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3068"/>
    <w:rPr>
      <w:color w:val="0000FF"/>
      <w:u w:val="single"/>
    </w:rPr>
  </w:style>
  <w:style w:type="paragraph" w:styleId="NormalWeb">
    <w:name w:val="Normal (Web)"/>
    <w:basedOn w:val="Normal"/>
    <w:uiPriority w:val="99"/>
    <w:semiHidden/>
    <w:unhideWhenUsed/>
    <w:rsid w:val="002B3068"/>
    <w:pPr>
      <w:spacing w:before="100" w:beforeAutospacing="1" w:after="100" w:afterAutospacing="1"/>
    </w:pPr>
  </w:style>
  <w:style w:type="character" w:styleId="Strong">
    <w:name w:val="Strong"/>
    <w:basedOn w:val="DefaultParagraphFont"/>
    <w:uiPriority w:val="22"/>
    <w:qFormat/>
    <w:rsid w:val="002B3068"/>
    <w:rPr>
      <w:b/>
      <w:bCs/>
    </w:rPr>
  </w:style>
  <w:style w:type="paragraph" w:styleId="BalloonText">
    <w:name w:val="Balloon Text"/>
    <w:basedOn w:val="Normal"/>
    <w:link w:val="BalloonTextChar"/>
    <w:uiPriority w:val="99"/>
    <w:semiHidden/>
    <w:unhideWhenUsed/>
    <w:rsid w:val="00603FC1"/>
    <w:rPr>
      <w:rFonts w:ascii="Tahoma" w:hAnsi="Tahoma" w:cs="Tahoma"/>
      <w:sz w:val="16"/>
      <w:szCs w:val="16"/>
    </w:rPr>
  </w:style>
  <w:style w:type="character" w:customStyle="1" w:styleId="BalloonTextChar">
    <w:name w:val="Balloon Text Char"/>
    <w:basedOn w:val="DefaultParagraphFont"/>
    <w:link w:val="BalloonText"/>
    <w:uiPriority w:val="99"/>
    <w:semiHidden/>
    <w:rsid w:val="00603F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68"/>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3068"/>
    <w:rPr>
      <w:color w:val="0000FF"/>
      <w:u w:val="single"/>
    </w:rPr>
  </w:style>
  <w:style w:type="paragraph" w:styleId="NormalWeb">
    <w:name w:val="Normal (Web)"/>
    <w:basedOn w:val="Normal"/>
    <w:uiPriority w:val="99"/>
    <w:semiHidden/>
    <w:unhideWhenUsed/>
    <w:rsid w:val="002B3068"/>
    <w:pPr>
      <w:spacing w:before="100" w:beforeAutospacing="1" w:after="100" w:afterAutospacing="1"/>
    </w:pPr>
  </w:style>
  <w:style w:type="character" w:styleId="Strong">
    <w:name w:val="Strong"/>
    <w:basedOn w:val="DefaultParagraphFont"/>
    <w:uiPriority w:val="22"/>
    <w:qFormat/>
    <w:rsid w:val="002B3068"/>
    <w:rPr>
      <w:b/>
      <w:bCs/>
    </w:rPr>
  </w:style>
  <w:style w:type="paragraph" w:styleId="BalloonText">
    <w:name w:val="Balloon Text"/>
    <w:basedOn w:val="Normal"/>
    <w:link w:val="BalloonTextChar"/>
    <w:uiPriority w:val="99"/>
    <w:semiHidden/>
    <w:unhideWhenUsed/>
    <w:rsid w:val="00603FC1"/>
    <w:rPr>
      <w:rFonts w:ascii="Tahoma" w:hAnsi="Tahoma" w:cs="Tahoma"/>
      <w:sz w:val="16"/>
      <w:szCs w:val="16"/>
    </w:rPr>
  </w:style>
  <w:style w:type="character" w:customStyle="1" w:styleId="BalloonTextChar">
    <w:name w:val="Balloon Text Char"/>
    <w:basedOn w:val="DefaultParagraphFont"/>
    <w:link w:val="BalloonText"/>
    <w:uiPriority w:val="99"/>
    <w:semiHidden/>
    <w:rsid w:val="00603F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aybart53@gmail.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Zwilling</dc:creator>
  <cp:lastModifiedBy>Alisa</cp:lastModifiedBy>
  <cp:revision>2</cp:revision>
  <dcterms:created xsi:type="dcterms:W3CDTF">2019-03-21T01:54:00Z</dcterms:created>
  <dcterms:modified xsi:type="dcterms:W3CDTF">2019-03-21T01:54:00Z</dcterms:modified>
</cp:coreProperties>
</file>